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ملخص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تنفيذي</w:t>
      </w:r>
    </w:p>
    <w:p w:rsidR="00000000" w:rsidDel="00000000" w:rsidP="00000000" w:rsidRDefault="00000000" w:rsidRPr="00000000" w14:paraId="00000002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موجز</w:t>
      </w:r>
    </w:p>
    <w:p w:rsidR="00000000" w:rsidDel="00000000" w:rsidP="00000000" w:rsidRDefault="00000000" w:rsidRPr="00000000" w14:paraId="0000000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تسعى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العابرة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لإيجاد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لواحد</w:t>
      </w:r>
      <w:r w:rsidDel="00000000" w:rsidR="00000000" w:rsidRPr="00000000">
        <w:rPr>
          <w:sz w:val="24"/>
          <w:szCs w:val="24"/>
          <w:rtl w:val="1"/>
        </w:rPr>
        <w:t xml:space="preserve">ٍ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الصراعات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وأكثرها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استعصاء</w:t>
      </w:r>
      <w:r w:rsidDel="00000000" w:rsidR="00000000" w:rsidRPr="00000000">
        <w:rPr>
          <w:sz w:val="24"/>
          <w:szCs w:val="24"/>
          <w:rtl w:val="1"/>
        </w:rPr>
        <w:t xml:space="preserve">ً،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يزداد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الخارجي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تعقيد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العنيف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والتقييدات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الشديدة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الحركة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المحدودة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جائحة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كوفيد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-19 </w:t>
      </w:r>
      <w:r w:rsidDel="00000000" w:rsidR="00000000" w:rsidRPr="00000000">
        <w:rPr>
          <w:sz w:val="24"/>
          <w:szCs w:val="24"/>
          <w:rtl w:val="1"/>
        </w:rPr>
        <w:t xml:space="preserve">مؤخر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2019، </w:t>
      </w:r>
      <w:r w:rsidDel="00000000" w:rsidR="00000000" w:rsidRPr="00000000">
        <w:rPr>
          <w:sz w:val="24"/>
          <w:szCs w:val="24"/>
          <w:rtl w:val="1"/>
        </w:rPr>
        <w:t xml:space="preserve">خسر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نتيجة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تراجع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الخارجي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عابرة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لإلغاء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وضحاها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يتعزز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التباعد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المحتملين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يؤمن</w:t>
      </w:r>
      <w:r w:rsidDel="00000000" w:rsidR="00000000" w:rsidRPr="00000000">
        <w:rPr>
          <w:sz w:val="24"/>
          <w:szCs w:val="24"/>
          <w:rtl w:val="1"/>
        </w:rPr>
        <w:t xml:space="preserve"> %47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الإسرائيليين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اليهود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%71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الفلسطينيين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الصراع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أمسى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مباراة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صفرية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المكسب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أضعفت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التحديات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الدافعية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دفعت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ألمع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الناشئين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ساهمت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ثقافة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تدعو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قادة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يجاهدون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تجنيد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ومواجهة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لوجستي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وثنائي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القومية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معق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الطموحات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تتماشى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وراسخة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ونموذج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للقياس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مجتمعي</w:t>
      </w:r>
      <w:r w:rsidDel="00000000" w:rsidR="00000000" w:rsidRPr="00000000">
        <w:rPr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0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يحل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التقرير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يستعرض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ويوض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الإسرائيلية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والفلسطينية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وعددها</w:t>
      </w:r>
      <w:r w:rsidDel="00000000" w:rsidR="00000000" w:rsidRPr="00000000">
        <w:rPr>
          <w:sz w:val="24"/>
          <w:szCs w:val="24"/>
          <w:rtl w:val="1"/>
        </w:rPr>
        <w:t xml:space="preserve"> 52،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المانح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الاستثمار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التوصيات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لزيادة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بأكبر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ممكن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تشير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استنتاجاتنا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وبغض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مهنيتها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وتأثيرها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المستقل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بمعزل</w:t>
      </w:r>
      <w:r w:rsidDel="00000000" w:rsidR="00000000" w:rsidRPr="00000000">
        <w:rPr>
          <w:sz w:val="24"/>
          <w:szCs w:val="24"/>
          <w:rtl w:val="1"/>
        </w:rPr>
        <w:t xml:space="preserve">ٍ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الآخرين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ميدان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الرؤية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التكاملية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والتآزر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الاستراتيجي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المضمار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المتبرعين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سابقة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لو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بتصميم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تأثير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لصم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الحالي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يستمر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المتبرع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الاستثمار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رغم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الفوضى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السائدة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نماذج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النجاح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نطاق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شأنها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الأبحاث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الموثوقة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أجراها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زملائنا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للسلام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والتحالف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الأوسط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الأبحاث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والتكنولوجيا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BICOM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والوكالة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الدولة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فإ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نماذج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الإسرائيلية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والفلسطينية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النجاح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سهم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سلمية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ولكن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للأسف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نطاق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وليست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للقياس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تثبت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استدامتها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ولكن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القريب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لاكتساب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ضوء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توصيتنا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تشجيع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المانحة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والباحثين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مضمار</w:t>
      </w:r>
      <w:r w:rsidDel="00000000" w:rsidR="00000000" w:rsidRPr="00000000">
        <w:rPr>
          <w:sz w:val="24"/>
          <w:szCs w:val="24"/>
          <w:rtl w:val="1"/>
        </w:rPr>
        <w:t xml:space="preserve">ٍ </w:t>
      </w:r>
      <w:r w:rsidDel="00000000" w:rsidR="00000000" w:rsidRPr="00000000">
        <w:rPr>
          <w:sz w:val="24"/>
          <w:szCs w:val="24"/>
          <w:rtl w:val="1"/>
        </w:rPr>
        <w:t xml:space="preserve">واحد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يتشاركون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والمساهمة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نهائي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سلمي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للصراع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الإسرائيلي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الفلسطيني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الرئيسية</w:t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قمنا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المعطيات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52 </w:t>
      </w:r>
      <w:r w:rsidDel="00000000" w:rsidR="00000000" w:rsidRPr="00000000">
        <w:rPr>
          <w:sz w:val="24"/>
          <w:szCs w:val="24"/>
          <w:rtl w:val="1"/>
        </w:rPr>
        <w:t xml:space="preserve">منظمة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فلسطينية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وإسرائيلية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23 </w:t>
      </w:r>
      <w:r w:rsidDel="00000000" w:rsidR="00000000" w:rsidRPr="00000000">
        <w:rPr>
          <w:sz w:val="24"/>
          <w:szCs w:val="24"/>
          <w:rtl w:val="1"/>
        </w:rPr>
        <w:t xml:space="preserve">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مانحة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الخبراء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المختصين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ومنظ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المؤتمرات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2018 </w:t>
      </w:r>
      <w:r w:rsidDel="00000000" w:rsidR="00000000" w:rsidRPr="00000000">
        <w:rPr>
          <w:sz w:val="24"/>
          <w:szCs w:val="24"/>
          <w:rtl w:val="1"/>
        </w:rPr>
        <w:t xml:space="preserve">وشباط</w:t>
      </w:r>
      <w:r w:rsidDel="00000000" w:rsidR="00000000" w:rsidRPr="00000000">
        <w:rPr>
          <w:sz w:val="24"/>
          <w:szCs w:val="24"/>
          <w:rtl w:val="1"/>
        </w:rPr>
        <w:t xml:space="preserve"> 2020.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تشمل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العابر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للحدود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تحو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وتيسيري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شراكات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تكنولوجية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لاحظنا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المنهجية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بمراحل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الإسرائيلي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الفلسطيني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ابتداء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لمعاهدة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أوسلو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والتربوية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للشبيبة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أقيمت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2014،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تركيزها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تحتاج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فرضية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سائدة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الإسرائيلي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العلمانيين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اليساريين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الإسرائيليون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الوحيدون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المتدخلين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فرضية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سائدة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الفلسطيني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الفلسطينيين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مواطني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إسرائيل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الفلسطينيون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الوحيدون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المتدخلين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وجدنا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الفرضية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عفا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المتداخلين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ينتمون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لمجتمعات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مقدسية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تقليدية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الجانبين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إسرائيلية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للطواقم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المتوسطة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2014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جذرية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اتباع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تقليدية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تقتصر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للنهوض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النشط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لإقامة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مشتركة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اليومي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بادرت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الصهاينة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المتدينين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وفلسطينيين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متأثرة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الانضمام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وأقاموا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مجتمعاتهم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تلعب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مضى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%73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%76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%60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تحظى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فالاتحاد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الحكومات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المانحة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اليهودية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مؤهلة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لتلقي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1967.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تنف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واسع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أفادت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صعوبة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6,428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322,000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وبينما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تتعمد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نماذج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بكثير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تفيد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تقاريرها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تشارك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تتماشى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مشتركة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مفارقة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عبثية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يسعى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الفعلي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الكواليس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والقنوات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لإعداد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تقاريرها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والتيسيرية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تملك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ميزانيات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محدودة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وطواقم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صغيرة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%64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ميزانية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500,000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دولار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أمريكي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طواقمها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التحديات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المذكورة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رئيسي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بمحدودية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والاعتمادية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متبرعين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ونقص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والغياب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بالطاقم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المناسبين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الحواجز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والثقافية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تزيد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صعوبة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للتراكمات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العاطفية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للتعاطي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اليومي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يتزايد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الطواقم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يلتزمون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يكونون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التنظيمي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ولكنهم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يفتقرون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للخبرة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وتجنيد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إشكاليات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البنية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التحتية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المترتبة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للنشاط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الكيانات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الفلسطينية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تشغيل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إسرائيليين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الكيانات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الإسرائيلية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تواجه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واللوجستية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فلسطينيين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اللقاءات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استقطاب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الإسرائيليين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شائع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العديدون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الرغبة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التعاطي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إسرائيل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المزيد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لامنهجية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الإسرائيليين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مناهضة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التطبيع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i w:val="1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الفلسطينيين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بالأمان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الفلسطينيين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يفضلون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إخفاء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اتهامهم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بالتطبيع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التسويق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لبرامجها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قاموا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بالخطة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الاستراتيجية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بالأهداف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الأوسع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خاضت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تخطيط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الإطلاق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التوصيات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الرئيسية</w:t>
      </w:r>
    </w:p>
    <w:p w:rsidR="00000000" w:rsidDel="00000000" w:rsidP="00000000" w:rsidRDefault="00000000" w:rsidRPr="00000000" w14:paraId="00000019">
      <w:pPr>
        <w:bidi w:val="1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جميعنا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يؤدي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للسلام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الزخم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أعقاب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اتفاقيات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بإمكان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داعمة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؛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تتشارك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المصالح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والآراء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وتدعمها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مانحة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النهوض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التشبيك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المعنية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كجسم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مشتركة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سلمية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والمساهمة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للصراع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الإسرائيلي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الفلسطيني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باتباع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الاستراتيجية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؛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السماح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النجاعة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تحافظ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استراتيجياتها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الأهداف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الغايات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وآليات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التقييم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وربط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الاستراتيجيات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باستراتيجية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الجسم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يسمح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بإقامة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العموم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ind w:left="36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توصي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أمل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-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تيكڤا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بتبن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التقنيات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Strong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Field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Framework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كالمبي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ن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أدناه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قابلة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بالرؤية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المشتركة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بلورتها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الخطوة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الحصيلة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قابلية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بالاستثمار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والمساهمة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ويتوجب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الاستثمار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والمتطوعين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والطواقم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التزامهم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إنشاء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ولزيادة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مساحات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ومكاتب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مشتركة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وتكنولوجيا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مشتركة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التصاريح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لترجمة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تدريبات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التوصيات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المقترحة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والتحليلات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لمتابعة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وتقييم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المانحة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نجاحها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رسالتها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ورؤيتها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حددتها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لنفسها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الأهلي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نماذج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ممتازة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المؤثرة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أوسع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المجموعات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التنسيق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الناجح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للمشاريع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إشكاليات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باستقطاب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باستيعاب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بديناميات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للإسرائيليين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لاستقطاب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الإسرائيليين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تتنافس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استقطاب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فلسطينيين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نضالهم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مناهضي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التطبيع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المتضاربة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خيارهم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والدعم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المانحة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موازنة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التبرعات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والحكومية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الذاتية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بالعودة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خططها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الاستراتيجية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لفحص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تنفيذها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المانحة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للمشاريع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المخاطرة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والابتكار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متابعة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التقدم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ظل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جائحة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كوفيد</w:t>
      </w:r>
      <w:r w:rsidDel="00000000" w:rsidR="00000000" w:rsidRPr="00000000">
        <w:rPr>
          <w:b w:val="1"/>
          <w:sz w:val="24"/>
          <w:szCs w:val="24"/>
          <w:rtl w:val="0"/>
        </w:rPr>
        <w:t xml:space="preserve">-19</w:t>
      </w:r>
    </w:p>
    <w:p w:rsidR="00000000" w:rsidDel="00000000" w:rsidP="00000000" w:rsidRDefault="00000000" w:rsidRPr="00000000" w14:paraId="0000002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تتزامن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القصور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السياسي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الفورية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الناتجة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فيروس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كورونا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المستجد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فالآثار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تتجاوز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لتقليص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طواقمه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وبرامجه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تفشي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الجائحة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المنطقة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بتركيز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جهودها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اللقاءات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الافتراضية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وضرورية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سكانية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ضائقة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الفوري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لتشكيل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متجانسة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مترابطة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ومهنية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لتشكل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اجتماعية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سياسية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للحدود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هناك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استثنائية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استراتيجي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كحركة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والتخفيف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المخاطر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ستنشأ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حتم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والسنوات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القريبة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ستتابع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أمل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تيكڤا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جهودها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الآثار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لجائحة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كوفيد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-19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ومحاولة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معمق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وتناول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قضية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وملاءمة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للتخفيف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المخاطر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سنتابع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مكثف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شركائنا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الأزمة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ممكن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harter-Italic"/>
  <w:font w:name="Charter-Roman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8">
      <w:pPr>
        <w:spacing w:after="0" w:line="240" w:lineRule="auto"/>
        <w:rPr>
          <w:rFonts w:ascii="Charter-Italic" w:cs="Charter-Italic" w:eastAsia="Charter-Italic" w:hAnsi="Charter-Italic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harter-Roman" w:cs="Charter-Roman" w:eastAsia="Charter-Roman" w:hAnsi="Charter-Roman"/>
          <w:sz w:val="18"/>
          <w:szCs w:val="18"/>
          <w:rtl w:val="0"/>
        </w:rPr>
        <w:t xml:space="preserve">Shikaki, K., &amp; Scheindlin, D. (2018). </w:t>
      </w:r>
      <w:r w:rsidDel="00000000" w:rsidR="00000000" w:rsidRPr="00000000">
        <w:rPr>
          <w:rFonts w:ascii="Charter-Italic" w:cs="Charter-Italic" w:eastAsia="Charter-Italic" w:hAnsi="Charter-Italic"/>
          <w:i w:val="1"/>
          <w:sz w:val="18"/>
          <w:szCs w:val="18"/>
          <w:rtl w:val="0"/>
        </w:rPr>
        <w:t xml:space="preserve">Role of Public Opinion in the Resilience/Resolution of the Palestinian-Israeli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harter-Roman" w:cs="Charter-Roman" w:eastAsia="Charter-Roman" w:hAnsi="Charter-Roman"/>
          <w:sz w:val="18"/>
          <w:szCs w:val="18"/>
        </w:rPr>
      </w:pPr>
      <w:r w:rsidDel="00000000" w:rsidR="00000000" w:rsidRPr="00000000">
        <w:rPr>
          <w:rFonts w:ascii="Charter-Italic" w:cs="Charter-Italic" w:eastAsia="Charter-Italic" w:hAnsi="Charter-Italic"/>
          <w:i w:val="1"/>
          <w:sz w:val="18"/>
          <w:szCs w:val="18"/>
          <w:rtl w:val="0"/>
        </w:rPr>
        <w:t xml:space="preserve">Conflict </w:t>
      </w:r>
      <w:r w:rsidDel="00000000" w:rsidR="00000000" w:rsidRPr="00000000">
        <w:rPr>
          <w:rFonts w:ascii="Charter-Roman" w:cs="Charter-Roman" w:eastAsia="Charter-Roman" w:hAnsi="Charter-Roman"/>
          <w:sz w:val="18"/>
          <w:szCs w:val="18"/>
          <w:rtl w:val="0"/>
        </w:rPr>
        <w:t xml:space="preserve">(Final Report). Ramallah: The Palestinian Center for Policy and Survey Research (PSR), Tel Aviv: Tami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harter-Roman" w:cs="Charter-Roman" w:eastAsia="Charter-Roman" w:hAnsi="Charter-Roman"/>
          <w:sz w:val="18"/>
          <w:szCs w:val="18"/>
        </w:rPr>
      </w:pPr>
      <w:r w:rsidDel="00000000" w:rsidR="00000000" w:rsidRPr="00000000">
        <w:rPr>
          <w:rFonts w:ascii="Charter-Roman" w:cs="Charter-Roman" w:eastAsia="Charter-Roman" w:hAnsi="Charter-Roman"/>
          <w:sz w:val="18"/>
          <w:szCs w:val="18"/>
          <w:rtl w:val="0"/>
        </w:rPr>
        <w:t xml:space="preserve">Steinmetz Center for Peace Research, Tel Aviv University.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James Irvine Foundation. (2009).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Strong Framework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Focus.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F834D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F834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F834D2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2D0415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2F22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A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A0D8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A0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A0D8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A0D8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hoOZMO0HFNhctHZyGrTSDV6ng==">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2021-10-19T13:06:00Z</dcterms:created>
  <dc:creator>Ruba Simaan- Glocal</dc:creator>
</cp:coreProperties>
</file>